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6E6" w:rsidRDefault="00B1151A" w:rsidP="00FD16E6">
      <w:pPr>
        <w:spacing w:after="0" w:line="240" w:lineRule="auto"/>
        <w:jc w:val="center"/>
        <w:rPr>
          <w:b/>
        </w:rPr>
      </w:pPr>
      <w:r>
        <w:rPr>
          <w:b/>
        </w:rPr>
        <w:t>YRDP/YCWA (</w:t>
      </w:r>
      <w:r w:rsidR="00FD16E6">
        <w:rPr>
          <w:b/>
        </w:rPr>
        <w:t xml:space="preserve">FERC </w:t>
      </w:r>
      <w:r>
        <w:rPr>
          <w:b/>
        </w:rPr>
        <w:t xml:space="preserve">no. </w:t>
      </w:r>
      <w:r w:rsidR="009E0A3F">
        <w:rPr>
          <w:b/>
        </w:rPr>
        <w:t>2246)</w:t>
      </w:r>
      <w:r w:rsidR="0081416B">
        <w:rPr>
          <w:b/>
        </w:rPr>
        <w:t xml:space="preserve"> </w:t>
      </w:r>
      <w:r w:rsidR="00FD16E6">
        <w:rPr>
          <w:b/>
        </w:rPr>
        <w:t>–</w:t>
      </w:r>
      <w:r w:rsidR="0081416B">
        <w:rPr>
          <w:b/>
        </w:rPr>
        <w:t xml:space="preserve"> </w:t>
      </w:r>
      <w:r w:rsidR="00FD16E6">
        <w:rPr>
          <w:b/>
        </w:rPr>
        <w:t xml:space="preserve">Study </w:t>
      </w:r>
      <w:r w:rsidR="0081416B" w:rsidRPr="00674FE6">
        <w:rPr>
          <w:b/>
        </w:rPr>
        <w:t>6.</w:t>
      </w:r>
      <w:r w:rsidR="00DD3490">
        <w:rPr>
          <w:b/>
        </w:rPr>
        <w:t>2</w:t>
      </w:r>
      <w:r w:rsidR="0081416B" w:rsidRPr="00674FE6">
        <w:rPr>
          <w:b/>
        </w:rPr>
        <w:t xml:space="preserve"> </w:t>
      </w:r>
      <w:r w:rsidR="00DD3490">
        <w:rPr>
          <w:b/>
        </w:rPr>
        <w:t xml:space="preserve">Lower Yuba River </w:t>
      </w:r>
      <w:r w:rsidR="0081416B" w:rsidRPr="00674FE6">
        <w:rPr>
          <w:b/>
        </w:rPr>
        <w:t>Riparian</w:t>
      </w:r>
    </w:p>
    <w:p w:rsidR="00FD16E6" w:rsidRDefault="00FD16E6" w:rsidP="00FD16E6">
      <w:pPr>
        <w:spacing w:after="0" w:line="240" w:lineRule="auto"/>
        <w:jc w:val="center"/>
        <w:rPr>
          <w:b/>
        </w:rPr>
      </w:pPr>
    </w:p>
    <w:p w:rsidR="00FD16E6" w:rsidRDefault="00FD16E6" w:rsidP="00FD16E6">
      <w:pPr>
        <w:spacing w:after="0" w:line="240" w:lineRule="auto"/>
        <w:jc w:val="center"/>
        <w:rPr>
          <w:b/>
        </w:rPr>
      </w:pPr>
      <w:r>
        <w:rPr>
          <w:b/>
        </w:rPr>
        <w:t>Request for additional a</w:t>
      </w:r>
      <w:r w:rsidR="009E0A3F">
        <w:rPr>
          <w:b/>
        </w:rPr>
        <w:t>nalysis</w:t>
      </w:r>
      <w:r>
        <w:rPr>
          <w:b/>
        </w:rPr>
        <w:t xml:space="preserve"> of hydrologic conditions for seed germination and early survival</w:t>
      </w:r>
    </w:p>
    <w:p w:rsidR="00FD16E6" w:rsidRDefault="00FD16E6" w:rsidP="00FD16E6">
      <w:pPr>
        <w:spacing w:after="0" w:line="240" w:lineRule="auto"/>
        <w:jc w:val="center"/>
        <w:rPr>
          <w:b/>
        </w:rPr>
      </w:pPr>
    </w:p>
    <w:p w:rsidR="00FD16E6" w:rsidRDefault="00FD16E6" w:rsidP="00FD16E6">
      <w:pPr>
        <w:spacing w:after="0" w:line="240" w:lineRule="auto"/>
        <w:jc w:val="center"/>
        <w:rPr>
          <w:b/>
        </w:rPr>
      </w:pPr>
      <w:r>
        <w:rPr>
          <w:b/>
        </w:rPr>
        <w:t>Draft -- September 19, 2013</w:t>
      </w:r>
    </w:p>
    <w:p w:rsidR="004E6EED" w:rsidRDefault="004E6EED" w:rsidP="00D526B9">
      <w:pPr>
        <w:spacing w:after="0" w:line="240" w:lineRule="auto"/>
        <w:rPr>
          <w:b/>
        </w:rPr>
      </w:pPr>
    </w:p>
    <w:p w:rsidR="00FD16E6" w:rsidRDefault="00FD16E6" w:rsidP="00D526B9">
      <w:pPr>
        <w:spacing w:after="0" w:line="240" w:lineRule="auto"/>
        <w:rPr>
          <w:b/>
        </w:rPr>
      </w:pPr>
    </w:p>
    <w:p w:rsidR="00DD3490" w:rsidRPr="00DD3490" w:rsidRDefault="00DD3490" w:rsidP="00D526B9">
      <w:pPr>
        <w:spacing w:after="0" w:line="240" w:lineRule="auto"/>
        <w:rPr>
          <w:b/>
          <w:color w:val="FF0000"/>
        </w:rPr>
      </w:pPr>
      <w:r>
        <w:rPr>
          <w:b/>
          <w:color w:val="FF0000"/>
        </w:rPr>
        <w:t xml:space="preserve">Note: This proposal is </w:t>
      </w:r>
      <w:r w:rsidR="00FD16E6">
        <w:rPr>
          <w:b/>
          <w:color w:val="FF0000"/>
        </w:rPr>
        <w:t>identical to requested additional analysis for</w:t>
      </w:r>
      <w:r>
        <w:rPr>
          <w:b/>
          <w:color w:val="FF0000"/>
        </w:rPr>
        <w:t xml:space="preserve"> </w:t>
      </w:r>
      <w:r w:rsidR="00FD16E6">
        <w:rPr>
          <w:b/>
          <w:color w:val="FF0000"/>
        </w:rPr>
        <w:t>S</w:t>
      </w:r>
      <w:r>
        <w:rPr>
          <w:b/>
          <w:color w:val="FF0000"/>
        </w:rPr>
        <w:t xml:space="preserve">tudy 6.1 </w:t>
      </w:r>
      <w:r w:rsidR="00FD16E6">
        <w:rPr>
          <w:b/>
          <w:color w:val="FF0000"/>
        </w:rPr>
        <w:t>(</w:t>
      </w:r>
      <w:r>
        <w:rPr>
          <w:b/>
          <w:color w:val="FF0000"/>
        </w:rPr>
        <w:t>Riparian Study on the Upper Yuba River</w:t>
      </w:r>
      <w:r w:rsidR="00FD16E6">
        <w:rPr>
          <w:b/>
          <w:color w:val="FF0000"/>
        </w:rPr>
        <w:t>) with the exception that stage-discharge outputs from 2-dimensional data for the lower Yuba River are to be utilized in the place of transect data.</w:t>
      </w:r>
    </w:p>
    <w:p w:rsidR="00DD3490" w:rsidRDefault="00DD3490" w:rsidP="00D526B9">
      <w:pPr>
        <w:spacing w:after="0" w:line="240" w:lineRule="auto"/>
        <w:rPr>
          <w:b/>
        </w:rPr>
      </w:pPr>
    </w:p>
    <w:p w:rsidR="00B729AF" w:rsidRPr="00BC0D9F" w:rsidRDefault="00B729AF" w:rsidP="00B729AF">
      <w:pPr>
        <w:pStyle w:val="CM14"/>
        <w:widowControl/>
        <w:spacing w:after="0"/>
        <w:jc w:val="both"/>
        <w:rPr>
          <w:rFonts w:asciiTheme="minorHAnsi" w:eastAsia="Calibri" w:hAnsiTheme="minorHAnsi"/>
        </w:rPr>
      </w:pPr>
      <w:r w:rsidRPr="00BC0D9F">
        <w:rPr>
          <w:rFonts w:asciiTheme="minorHAnsi" w:hAnsiTheme="minorHAnsi"/>
        </w:rPr>
        <w:t xml:space="preserve">The analysis focuses on </w:t>
      </w:r>
      <w:r w:rsidRPr="00BC0D9F">
        <w:rPr>
          <w:rFonts w:asciiTheme="minorHAnsi" w:eastAsia="Calibri" w:hAnsiTheme="minorHAnsi"/>
        </w:rPr>
        <w:t>Fremont’s cottonwood (</w:t>
      </w:r>
      <w:proofErr w:type="spellStart"/>
      <w:r w:rsidRPr="00BC0D9F">
        <w:rPr>
          <w:rFonts w:asciiTheme="minorHAnsi" w:hAnsiTheme="minorHAnsi"/>
          <w:i/>
          <w:iCs/>
          <w:lang w:val="en"/>
        </w:rPr>
        <w:t>Populus</w:t>
      </w:r>
      <w:proofErr w:type="spellEnd"/>
      <w:r w:rsidRPr="00BC0D9F">
        <w:rPr>
          <w:rFonts w:asciiTheme="minorHAnsi" w:hAnsiTheme="minorHAnsi"/>
          <w:i/>
          <w:iCs/>
          <w:lang w:val="en"/>
        </w:rPr>
        <w:t xml:space="preserve"> </w:t>
      </w:r>
      <w:proofErr w:type="spellStart"/>
      <w:r w:rsidRPr="00BC0D9F">
        <w:rPr>
          <w:rFonts w:asciiTheme="minorHAnsi" w:hAnsiTheme="minorHAnsi"/>
          <w:i/>
          <w:iCs/>
          <w:lang w:val="en"/>
        </w:rPr>
        <w:t>fremontii</w:t>
      </w:r>
      <w:proofErr w:type="spellEnd"/>
      <w:r w:rsidRPr="00BC0D9F">
        <w:rPr>
          <w:rFonts w:asciiTheme="minorHAnsi" w:eastAsia="Calibri" w:hAnsiTheme="minorHAnsi"/>
        </w:rPr>
        <w:t>); assumes seed dispersal for Fremont’s cottonwood is from April 1 through July 15; and that the maximum stage change per day for Fremont’s cottonwood seedling germination, establishment and survival is 2.5 centimeters per day (cm/day).  Such a rate is faster than maximum root follow rates (1 to 1.5 cm/day), but potentially allows for capillary action to provide water to root tips. Actual maximum recession rate for viable seed germination may be much less (Stella et al. 2010).</w:t>
      </w:r>
      <w:r w:rsidRPr="00BC0D9F">
        <w:rPr>
          <w:rStyle w:val="FootnoteReference"/>
          <w:rFonts w:asciiTheme="minorHAnsi" w:eastAsia="Calibri" w:hAnsiTheme="minorHAnsi"/>
        </w:rPr>
        <w:footnoteReference w:id="1"/>
      </w:r>
    </w:p>
    <w:p w:rsidR="00FD16E6" w:rsidRPr="00FD16E6" w:rsidRDefault="00FD16E6" w:rsidP="00FD16E6"/>
    <w:p w:rsidR="00023B4F" w:rsidRDefault="00B729AF" w:rsidP="00023B4F">
      <w:pPr>
        <w:numPr>
          <w:ilvl w:val="0"/>
          <w:numId w:val="15"/>
        </w:numPr>
        <w:spacing w:after="0" w:line="240" w:lineRule="auto"/>
        <w:jc w:val="both"/>
        <w:rPr>
          <w:rFonts w:eastAsia="Calibri"/>
          <w:sz w:val="24"/>
          <w:szCs w:val="24"/>
        </w:rPr>
      </w:pPr>
      <w:r>
        <w:rPr>
          <w:rFonts w:eastAsia="Calibri"/>
          <w:b/>
          <w:sz w:val="24"/>
          <w:szCs w:val="24"/>
        </w:rPr>
        <w:t>Task 1</w:t>
      </w:r>
      <w:r>
        <w:rPr>
          <w:rFonts w:eastAsia="Calibri"/>
          <w:sz w:val="24"/>
          <w:szCs w:val="24"/>
        </w:rPr>
        <w:t xml:space="preserve">- YCWA and Relicensing Participants will jointly </w:t>
      </w:r>
      <w:r w:rsidR="00832734">
        <w:rPr>
          <w:rFonts w:eastAsia="Calibri"/>
          <w:sz w:val="24"/>
          <w:szCs w:val="24"/>
        </w:rPr>
        <w:t xml:space="preserve">review </w:t>
      </w:r>
      <w:r w:rsidR="00BC0D9F">
        <w:rPr>
          <w:rFonts w:eastAsia="Calibri"/>
          <w:sz w:val="24"/>
          <w:szCs w:val="24"/>
        </w:rPr>
        <w:t xml:space="preserve">average </w:t>
      </w:r>
      <w:r w:rsidR="00832734">
        <w:rPr>
          <w:rFonts w:eastAsia="Calibri"/>
          <w:sz w:val="24"/>
          <w:szCs w:val="24"/>
        </w:rPr>
        <w:t>depth</w:t>
      </w:r>
      <w:r w:rsidR="00BC0D9F">
        <w:rPr>
          <w:rFonts w:eastAsia="Calibri"/>
          <w:sz w:val="24"/>
          <w:szCs w:val="24"/>
        </w:rPr>
        <w:t xml:space="preserve"> to </w:t>
      </w:r>
      <w:r w:rsidR="00832734">
        <w:rPr>
          <w:rFonts w:eastAsia="Calibri"/>
          <w:sz w:val="24"/>
          <w:szCs w:val="24"/>
        </w:rPr>
        <w:t xml:space="preserve">discharge relationships for seven reaches of the lower Yuba River (TM 7-10 Figure 3.3-2) as a full-census substitute for transect data with stage-discharge relationship. </w:t>
      </w:r>
      <w:r w:rsidR="00BC0D9F">
        <w:rPr>
          <w:rFonts w:eastAsia="Calibri"/>
          <w:sz w:val="24"/>
          <w:szCs w:val="24"/>
        </w:rPr>
        <w:t>Note that a multitude of transects have been generated from the 2-dimensional data by Dr. Pasternack</w:t>
      </w:r>
      <w:r w:rsidR="00BC0D9F">
        <w:rPr>
          <w:rFonts w:eastAsia="Calibri"/>
          <w:sz w:val="24"/>
          <w:szCs w:val="24"/>
        </w:rPr>
        <w:t xml:space="preserve">, and yet the average depth to discharge relationship could be superior, for the purposes of this analysis, to any stage-discharge relationships </w:t>
      </w:r>
      <w:r w:rsidR="00C97B7E">
        <w:rPr>
          <w:rFonts w:eastAsia="Calibri"/>
          <w:sz w:val="24"/>
          <w:szCs w:val="24"/>
        </w:rPr>
        <w:t>based in transect sampling.</w:t>
      </w:r>
    </w:p>
    <w:p w:rsidR="00C97B7E" w:rsidRPr="00023B4F" w:rsidRDefault="00C97B7E" w:rsidP="00C97B7E">
      <w:pPr>
        <w:numPr>
          <w:ilvl w:val="1"/>
          <w:numId w:val="15"/>
        </w:numPr>
        <w:spacing w:after="0" w:line="240" w:lineRule="auto"/>
        <w:jc w:val="both"/>
        <w:rPr>
          <w:rFonts w:eastAsia="Calibri"/>
          <w:sz w:val="24"/>
          <w:szCs w:val="24"/>
        </w:rPr>
      </w:pPr>
      <w:r>
        <w:rPr>
          <w:rFonts w:eastAsia="Calibri"/>
          <w:szCs w:val="24"/>
        </w:rPr>
        <w:t>Y</w:t>
      </w:r>
      <w:r>
        <w:rPr>
          <w:rFonts w:eastAsia="Calibri"/>
          <w:sz w:val="24"/>
          <w:szCs w:val="24"/>
        </w:rPr>
        <w:t xml:space="preserve">CWA will convert the average depth to discharge relationship for each reach into an average stage to discharge relationship.  </w:t>
      </w:r>
    </w:p>
    <w:p w:rsidR="00023B4F" w:rsidRPr="00023B4F" w:rsidRDefault="00B729AF" w:rsidP="00023B4F">
      <w:pPr>
        <w:numPr>
          <w:ilvl w:val="1"/>
          <w:numId w:val="15"/>
        </w:numPr>
        <w:spacing w:after="0" w:line="240" w:lineRule="auto"/>
        <w:jc w:val="both"/>
        <w:rPr>
          <w:rFonts w:eastAsia="Calibri"/>
          <w:sz w:val="24"/>
          <w:szCs w:val="24"/>
        </w:rPr>
      </w:pPr>
      <w:r w:rsidRPr="00023B4F">
        <w:rPr>
          <w:rFonts w:eastAsia="Calibri"/>
          <w:sz w:val="24"/>
          <w:szCs w:val="24"/>
        </w:rPr>
        <w:t xml:space="preserve">YCWA will provide a tool in Microsoft™ Excel, or other similar format, that shows </w:t>
      </w:r>
      <w:r w:rsidR="00BC0D9F">
        <w:rPr>
          <w:rFonts w:eastAsia="Calibri"/>
          <w:sz w:val="24"/>
          <w:szCs w:val="24"/>
        </w:rPr>
        <w:t xml:space="preserve">changes in </w:t>
      </w:r>
      <w:r w:rsidRPr="00023B4F">
        <w:rPr>
          <w:rFonts w:eastAsia="Calibri"/>
          <w:sz w:val="24"/>
          <w:szCs w:val="24"/>
        </w:rPr>
        <w:t xml:space="preserve">the elevation of water along </w:t>
      </w:r>
      <w:r w:rsidR="00BC0D9F">
        <w:rPr>
          <w:rFonts w:eastAsia="Calibri"/>
          <w:sz w:val="24"/>
          <w:szCs w:val="24"/>
        </w:rPr>
        <w:t>various</w:t>
      </w:r>
      <w:r w:rsidRPr="00023B4F">
        <w:rPr>
          <w:rFonts w:eastAsia="Calibri"/>
          <w:sz w:val="24"/>
          <w:szCs w:val="24"/>
        </w:rPr>
        <w:t xml:space="preserve"> transect</w:t>
      </w:r>
      <w:r w:rsidR="00BC0D9F">
        <w:rPr>
          <w:rFonts w:eastAsia="Calibri"/>
          <w:sz w:val="24"/>
          <w:szCs w:val="24"/>
        </w:rPr>
        <w:t>s</w:t>
      </w:r>
      <w:r w:rsidRPr="00023B4F">
        <w:rPr>
          <w:rFonts w:eastAsia="Calibri"/>
          <w:sz w:val="24"/>
          <w:szCs w:val="24"/>
        </w:rPr>
        <w:t xml:space="preserve"> at different flows</w:t>
      </w:r>
      <w:r w:rsidR="00BC0D9F">
        <w:rPr>
          <w:rFonts w:eastAsia="Calibri"/>
          <w:sz w:val="24"/>
          <w:szCs w:val="24"/>
        </w:rPr>
        <w:t xml:space="preserve"> in c</w:t>
      </w:r>
      <w:r w:rsidR="00C97B7E">
        <w:rPr>
          <w:rFonts w:eastAsia="Calibri"/>
          <w:sz w:val="24"/>
          <w:szCs w:val="24"/>
        </w:rPr>
        <w:t>omparison to average reach stage</w:t>
      </w:r>
      <w:r w:rsidR="00BC0D9F">
        <w:rPr>
          <w:rFonts w:eastAsia="Calibri"/>
          <w:sz w:val="24"/>
          <w:szCs w:val="24"/>
        </w:rPr>
        <w:t xml:space="preserve"> to discharge relationship</w:t>
      </w:r>
      <w:r w:rsidRPr="00023B4F">
        <w:rPr>
          <w:rFonts w:eastAsia="Calibri"/>
          <w:sz w:val="24"/>
          <w:szCs w:val="24"/>
        </w:rPr>
        <w:t>.</w:t>
      </w:r>
      <w:r w:rsidR="00BC0D9F">
        <w:rPr>
          <w:rFonts w:eastAsia="Calibri"/>
          <w:sz w:val="24"/>
          <w:szCs w:val="24"/>
        </w:rPr>
        <w:t xml:space="preserve">  </w:t>
      </w:r>
    </w:p>
    <w:p w:rsidR="00B729AF" w:rsidRDefault="00B729AF" w:rsidP="00B729AF">
      <w:pPr>
        <w:jc w:val="both"/>
        <w:rPr>
          <w:rFonts w:eastAsia="Calibri"/>
          <w:sz w:val="24"/>
          <w:szCs w:val="24"/>
        </w:rPr>
      </w:pPr>
    </w:p>
    <w:p w:rsidR="00B729AF" w:rsidRDefault="00B729AF" w:rsidP="00B729AF">
      <w:pPr>
        <w:numPr>
          <w:ilvl w:val="0"/>
          <w:numId w:val="15"/>
        </w:numPr>
        <w:spacing w:after="0" w:line="240" w:lineRule="auto"/>
        <w:jc w:val="both"/>
        <w:rPr>
          <w:rFonts w:eastAsia="Calibri"/>
          <w:sz w:val="24"/>
          <w:szCs w:val="24"/>
        </w:rPr>
      </w:pPr>
      <w:r>
        <w:rPr>
          <w:rFonts w:eastAsia="Calibri"/>
          <w:b/>
          <w:sz w:val="24"/>
          <w:szCs w:val="24"/>
        </w:rPr>
        <w:t xml:space="preserve">Task </w:t>
      </w:r>
      <w:r w:rsidR="00023B4F">
        <w:rPr>
          <w:rFonts w:eastAsia="Calibri"/>
          <w:b/>
          <w:sz w:val="24"/>
          <w:szCs w:val="24"/>
        </w:rPr>
        <w:t>2</w:t>
      </w:r>
      <w:r>
        <w:rPr>
          <w:rFonts w:eastAsia="Calibri"/>
          <w:sz w:val="24"/>
          <w:szCs w:val="24"/>
        </w:rPr>
        <w:t xml:space="preserve"> – Us</w:t>
      </w:r>
      <w:r w:rsidR="00023B4F">
        <w:rPr>
          <w:rFonts w:eastAsia="Calibri"/>
          <w:sz w:val="24"/>
          <w:szCs w:val="24"/>
        </w:rPr>
        <w:t>ing the tool developed in Task 1</w:t>
      </w:r>
      <w:r>
        <w:rPr>
          <w:rFonts w:eastAsia="Calibri"/>
          <w:sz w:val="24"/>
          <w:szCs w:val="24"/>
        </w:rPr>
        <w:t>, for each of the s</w:t>
      </w:r>
      <w:r w:rsidR="00023B4F">
        <w:rPr>
          <w:rFonts w:eastAsia="Calibri"/>
          <w:sz w:val="24"/>
          <w:szCs w:val="24"/>
        </w:rPr>
        <w:t>even reaches</w:t>
      </w:r>
      <w:r>
        <w:rPr>
          <w:rFonts w:eastAsia="Calibri"/>
          <w:sz w:val="24"/>
          <w:szCs w:val="24"/>
        </w:rPr>
        <w:t xml:space="preserve"> and for the period between April 1 and July 15 in each of the 41 years in the relicensing hydrology period of record (i.e., Water Year 1970 through Water Year 2010), YCWA will create Microsoft™ Excel tables with the following columns of output data: </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Date</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mean daily flow (</w:t>
      </w:r>
      <w:proofErr w:type="spellStart"/>
      <w:r>
        <w:rPr>
          <w:rFonts w:eastAsia="Calibri"/>
          <w:sz w:val="24"/>
          <w:szCs w:val="24"/>
        </w:rPr>
        <w:t>cfs</w:t>
      </w:r>
      <w:proofErr w:type="spellEnd"/>
      <w:r>
        <w:rPr>
          <w:rFonts w:eastAsia="Calibri"/>
          <w:sz w:val="24"/>
          <w:szCs w:val="24"/>
        </w:rPr>
        <w:t>) With-Project Hydrology</w:t>
      </w:r>
    </w:p>
    <w:p w:rsidR="00B729AF" w:rsidRDefault="00B729AF" w:rsidP="00B729AF">
      <w:pPr>
        <w:numPr>
          <w:ilvl w:val="0"/>
          <w:numId w:val="17"/>
        </w:numPr>
        <w:spacing w:after="0" w:line="240" w:lineRule="auto"/>
        <w:ind w:left="1080"/>
        <w:jc w:val="both"/>
        <w:rPr>
          <w:rFonts w:eastAsia="Calibri"/>
          <w:sz w:val="24"/>
          <w:szCs w:val="24"/>
        </w:rPr>
      </w:pPr>
      <w:proofErr w:type="gramStart"/>
      <w:r>
        <w:rPr>
          <w:rFonts w:eastAsia="Calibri"/>
          <w:sz w:val="24"/>
          <w:szCs w:val="24"/>
        </w:rPr>
        <w:t>daily</w:t>
      </w:r>
      <w:proofErr w:type="gramEnd"/>
      <w:r>
        <w:rPr>
          <w:rFonts w:eastAsia="Calibri"/>
          <w:sz w:val="24"/>
          <w:szCs w:val="24"/>
        </w:rPr>
        <w:t xml:space="preserve"> recession rate (%) With-Project Hydrology</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mean daily stage (cm) With-Project Hydrology</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daily stage change (cm) With-Project Hydrology</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lastRenderedPageBreak/>
        <w:t>mean daily flow (</w:t>
      </w:r>
      <w:proofErr w:type="spellStart"/>
      <w:r>
        <w:rPr>
          <w:rFonts w:eastAsia="Calibri"/>
          <w:sz w:val="24"/>
          <w:szCs w:val="24"/>
        </w:rPr>
        <w:t>cfs</w:t>
      </w:r>
      <w:proofErr w:type="spellEnd"/>
      <w:r>
        <w:rPr>
          <w:rFonts w:eastAsia="Calibri"/>
          <w:sz w:val="24"/>
          <w:szCs w:val="24"/>
        </w:rPr>
        <w:t>) Without-Project Hydrology</w:t>
      </w:r>
    </w:p>
    <w:p w:rsidR="00B729AF" w:rsidRDefault="00B729AF" w:rsidP="00B729AF">
      <w:pPr>
        <w:numPr>
          <w:ilvl w:val="0"/>
          <w:numId w:val="17"/>
        </w:numPr>
        <w:spacing w:after="0" w:line="240" w:lineRule="auto"/>
        <w:ind w:left="1080"/>
        <w:jc w:val="both"/>
        <w:rPr>
          <w:rFonts w:eastAsia="Calibri"/>
          <w:sz w:val="24"/>
          <w:szCs w:val="24"/>
        </w:rPr>
      </w:pPr>
      <w:proofErr w:type="gramStart"/>
      <w:r>
        <w:rPr>
          <w:rFonts w:eastAsia="Calibri"/>
          <w:sz w:val="24"/>
          <w:szCs w:val="24"/>
        </w:rPr>
        <w:t>daily</w:t>
      </w:r>
      <w:proofErr w:type="gramEnd"/>
      <w:r>
        <w:rPr>
          <w:rFonts w:eastAsia="Calibri"/>
          <w:sz w:val="24"/>
          <w:szCs w:val="24"/>
        </w:rPr>
        <w:t xml:space="preserve"> recession rate (%) Without-Project Hydrology</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mean daily stage (cm) Without-Project Hydrology</w:t>
      </w:r>
    </w:p>
    <w:p w:rsidR="00B729AF" w:rsidRDefault="00B729AF" w:rsidP="00B729AF">
      <w:pPr>
        <w:numPr>
          <w:ilvl w:val="0"/>
          <w:numId w:val="17"/>
        </w:numPr>
        <w:spacing w:after="0" w:line="240" w:lineRule="auto"/>
        <w:ind w:left="1080"/>
        <w:jc w:val="both"/>
        <w:rPr>
          <w:rFonts w:eastAsia="Calibri"/>
          <w:sz w:val="24"/>
          <w:szCs w:val="24"/>
        </w:rPr>
      </w:pPr>
      <w:r>
        <w:rPr>
          <w:rFonts w:eastAsia="Calibri"/>
          <w:sz w:val="24"/>
          <w:szCs w:val="24"/>
        </w:rPr>
        <w:t>daily stage change (cm) Without-Project Hydrology</w:t>
      </w:r>
    </w:p>
    <w:p w:rsidR="00B729AF" w:rsidRDefault="00B729AF" w:rsidP="00B729AF">
      <w:pPr>
        <w:jc w:val="both"/>
        <w:rPr>
          <w:rFonts w:eastAsia="Calibri"/>
          <w:sz w:val="24"/>
          <w:szCs w:val="24"/>
        </w:rPr>
      </w:pPr>
    </w:p>
    <w:p w:rsidR="00B729AF" w:rsidRDefault="00B729AF" w:rsidP="00B729AF">
      <w:pPr>
        <w:ind w:left="720"/>
        <w:jc w:val="both"/>
        <w:rPr>
          <w:rFonts w:eastAsia="Calibri"/>
          <w:sz w:val="24"/>
          <w:szCs w:val="24"/>
        </w:rPr>
      </w:pPr>
      <w:r>
        <w:rPr>
          <w:rFonts w:eastAsia="Calibri"/>
          <w:sz w:val="24"/>
          <w:szCs w:val="24"/>
        </w:rPr>
        <w:t>The With-Project</w:t>
      </w:r>
      <w:r w:rsidR="00BC0D9F">
        <w:rPr>
          <w:rFonts w:eastAsia="Calibri"/>
          <w:sz w:val="24"/>
          <w:szCs w:val="24"/>
        </w:rPr>
        <w:t xml:space="preserve"> and Without-Project hydrology</w:t>
      </w:r>
      <w:r>
        <w:rPr>
          <w:rFonts w:eastAsia="Calibri"/>
          <w:sz w:val="24"/>
          <w:szCs w:val="24"/>
        </w:rPr>
        <w:t xml:space="preserve"> used to develop the tables will be obtained from the relicensing Water Balance/Operations Model.  YCWA will highlight table cells with a stage change of 2.5 cm or less. </w:t>
      </w:r>
    </w:p>
    <w:p w:rsidR="00B729AF" w:rsidRDefault="00B729AF" w:rsidP="00B729AF">
      <w:pPr>
        <w:ind w:left="720"/>
        <w:jc w:val="both"/>
        <w:rPr>
          <w:rFonts w:eastAsia="Calibri"/>
          <w:sz w:val="24"/>
          <w:szCs w:val="24"/>
        </w:rPr>
      </w:pPr>
      <w:r>
        <w:rPr>
          <w:rFonts w:eastAsia="Calibri"/>
          <w:sz w:val="24"/>
          <w:szCs w:val="24"/>
        </w:rPr>
        <w:t>YCWA and Relicensing Participants will jointly review the completed tool and tables and discuss areas of interest for limited additional analysis before proceeding to Task 4.</w:t>
      </w:r>
    </w:p>
    <w:p w:rsidR="00B729AF" w:rsidRDefault="00B729AF" w:rsidP="00B729AF">
      <w:pPr>
        <w:numPr>
          <w:ilvl w:val="0"/>
          <w:numId w:val="18"/>
        </w:numPr>
        <w:spacing w:after="0" w:line="240" w:lineRule="auto"/>
        <w:ind w:left="720"/>
        <w:jc w:val="both"/>
        <w:rPr>
          <w:rFonts w:eastAsia="Calibri"/>
          <w:sz w:val="24"/>
          <w:szCs w:val="24"/>
        </w:rPr>
      </w:pPr>
      <w:r>
        <w:rPr>
          <w:rFonts w:eastAsia="Calibri"/>
          <w:b/>
          <w:sz w:val="24"/>
          <w:szCs w:val="24"/>
        </w:rPr>
        <w:t xml:space="preserve">Task </w:t>
      </w:r>
      <w:r w:rsidR="00023B4F">
        <w:rPr>
          <w:rFonts w:eastAsia="Calibri"/>
          <w:b/>
          <w:sz w:val="24"/>
          <w:szCs w:val="24"/>
        </w:rPr>
        <w:t>3</w:t>
      </w:r>
      <w:r>
        <w:rPr>
          <w:rFonts w:eastAsia="Calibri"/>
          <w:sz w:val="24"/>
          <w:szCs w:val="24"/>
        </w:rPr>
        <w:t xml:space="preserve"> – For With- and Without-Project </w:t>
      </w:r>
      <w:proofErr w:type="spellStart"/>
      <w:r>
        <w:rPr>
          <w:rFonts w:eastAsia="Calibri"/>
          <w:sz w:val="24"/>
          <w:szCs w:val="24"/>
        </w:rPr>
        <w:t>hydrologies</w:t>
      </w:r>
      <w:proofErr w:type="spellEnd"/>
      <w:r>
        <w:rPr>
          <w:rFonts w:eastAsia="Calibri"/>
          <w:sz w:val="24"/>
          <w:szCs w:val="24"/>
        </w:rPr>
        <w:t xml:space="preserve">, YCWA will provide for each </w:t>
      </w:r>
      <w:r w:rsidR="00023B4F">
        <w:rPr>
          <w:rFonts w:eastAsia="Calibri"/>
          <w:sz w:val="24"/>
          <w:szCs w:val="24"/>
        </w:rPr>
        <w:t xml:space="preserve">reach </w:t>
      </w:r>
      <w:r>
        <w:rPr>
          <w:rFonts w:eastAsia="Calibri"/>
          <w:sz w:val="24"/>
          <w:szCs w:val="24"/>
        </w:rPr>
        <w:t xml:space="preserve">in the tables developed in Task </w:t>
      </w:r>
      <w:r w:rsidR="00023B4F">
        <w:rPr>
          <w:rFonts w:eastAsia="Calibri"/>
          <w:sz w:val="24"/>
          <w:szCs w:val="24"/>
        </w:rPr>
        <w:t>2</w:t>
      </w:r>
      <w:r>
        <w:rPr>
          <w:rFonts w:eastAsia="Calibri"/>
          <w:sz w:val="24"/>
          <w:szCs w:val="24"/>
        </w:rPr>
        <w:t>:</w:t>
      </w:r>
    </w:p>
    <w:p w:rsidR="00B729AF" w:rsidRDefault="00B729AF" w:rsidP="00B729AF">
      <w:pPr>
        <w:jc w:val="both"/>
        <w:rPr>
          <w:rFonts w:eastAsia="Calibri"/>
          <w:sz w:val="24"/>
          <w:szCs w:val="24"/>
        </w:rPr>
      </w:pPr>
      <w:r>
        <w:rPr>
          <w:rFonts w:eastAsia="Calibri"/>
          <w:sz w:val="24"/>
          <w:szCs w:val="24"/>
        </w:rPr>
        <w:t xml:space="preserve"> </w:t>
      </w:r>
    </w:p>
    <w:p w:rsidR="00B729AF" w:rsidRDefault="00B729AF" w:rsidP="00B729AF">
      <w:pPr>
        <w:numPr>
          <w:ilvl w:val="0"/>
          <w:numId w:val="19"/>
        </w:numPr>
        <w:spacing w:after="0" w:line="240" w:lineRule="auto"/>
        <w:ind w:left="1080"/>
        <w:jc w:val="both"/>
        <w:rPr>
          <w:rFonts w:eastAsia="Calibri"/>
          <w:sz w:val="24"/>
          <w:szCs w:val="24"/>
        </w:rPr>
      </w:pPr>
      <w:r>
        <w:rPr>
          <w:rFonts w:eastAsia="Calibri"/>
          <w:sz w:val="24"/>
          <w:szCs w:val="24"/>
        </w:rPr>
        <w:t>The number of years and percent of years for which stage recession was 2.5 cm or less than 2.5 cm/day for the entire analysis period</w:t>
      </w:r>
    </w:p>
    <w:p w:rsidR="00B729AF" w:rsidRDefault="00B729AF" w:rsidP="00B729AF">
      <w:pPr>
        <w:numPr>
          <w:ilvl w:val="0"/>
          <w:numId w:val="19"/>
        </w:numPr>
        <w:spacing w:after="0" w:line="240" w:lineRule="auto"/>
        <w:ind w:left="1080"/>
        <w:jc w:val="both"/>
        <w:rPr>
          <w:rFonts w:eastAsia="Calibri"/>
          <w:sz w:val="24"/>
          <w:szCs w:val="24"/>
        </w:rPr>
      </w:pPr>
      <w:r>
        <w:rPr>
          <w:rFonts w:eastAsia="Calibri"/>
          <w:sz w:val="24"/>
          <w:szCs w:val="24"/>
        </w:rPr>
        <w:t>A summary table that has the average, maximum, and minimum by water year type of the number of consecutive days with a recession rate of 2.5 cm/day or less.</w:t>
      </w:r>
    </w:p>
    <w:p w:rsidR="00B729AF" w:rsidRDefault="00B729AF" w:rsidP="00B729AF">
      <w:pPr>
        <w:numPr>
          <w:ilvl w:val="0"/>
          <w:numId w:val="19"/>
        </w:numPr>
        <w:spacing w:after="0" w:line="240" w:lineRule="auto"/>
        <w:ind w:left="1080"/>
        <w:jc w:val="both"/>
        <w:rPr>
          <w:rFonts w:eastAsia="Calibri"/>
          <w:sz w:val="24"/>
          <w:szCs w:val="24"/>
        </w:rPr>
      </w:pPr>
      <w:r>
        <w:rPr>
          <w:rFonts w:eastAsia="Calibri"/>
          <w:sz w:val="24"/>
          <w:szCs w:val="24"/>
        </w:rPr>
        <w:t xml:space="preserve">Two frequency distributions, one based on With-Project and one based on Without-Project </w:t>
      </w:r>
      <w:proofErr w:type="spellStart"/>
      <w:r>
        <w:rPr>
          <w:rFonts w:eastAsia="Calibri"/>
          <w:sz w:val="24"/>
          <w:szCs w:val="24"/>
        </w:rPr>
        <w:t>hydrologies</w:t>
      </w:r>
      <w:proofErr w:type="spellEnd"/>
      <w:r>
        <w:rPr>
          <w:rFonts w:eastAsia="Calibri"/>
          <w:sz w:val="24"/>
          <w:szCs w:val="24"/>
        </w:rPr>
        <w:t>, for stage increments (e.g., 3 or 5 cm) where recession did not exceed 2.5 cm/day, and no recession rate in excess of 2.5 cm/day followed in a given year</w:t>
      </w:r>
      <w:r>
        <w:rPr>
          <w:rFonts w:eastAsia="Calibri"/>
          <w:b/>
          <w:sz w:val="24"/>
          <w:szCs w:val="24"/>
        </w:rPr>
        <w:t>.</w:t>
      </w:r>
      <w:r>
        <w:rPr>
          <w:rFonts w:eastAsia="Calibri"/>
          <w:sz w:val="24"/>
          <w:szCs w:val="24"/>
        </w:rPr>
        <w:t xml:space="preserve"> Distributions to include all years in the relicensing hydrology period of record.</w:t>
      </w:r>
    </w:p>
    <w:p w:rsidR="00B729AF" w:rsidRDefault="00B729AF" w:rsidP="00B729AF">
      <w:pPr>
        <w:jc w:val="both"/>
        <w:rPr>
          <w:rFonts w:eastAsia="Calibri"/>
          <w:sz w:val="24"/>
          <w:szCs w:val="24"/>
        </w:rPr>
      </w:pPr>
    </w:p>
    <w:p w:rsidR="00B729AF" w:rsidRDefault="00B729AF" w:rsidP="00B729AF">
      <w:pPr>
        <w:ind w:left="720"/>
        <w:jc w:val="both"/>
        <w:rPr>
          <w:rFonts w:eastAsia="Calibri"/>
          <w:color w:val="FF0000"/>
          <w:sz w:val="24"/>
          <w:szCs w:val="24"/>
        </w:rPr>
      </w:pPr>
      <w:r>
        <w:rPr>
          <w:rFonts w:eastAsia="Calibri"/>
          <w:sz w:val="24"/>
          <w:szCs w:val="24"/>
        </w:rPr>
        <w:t xml:space="preserve">In addition, YCWA will create ‘spaghetti hydrographs’ (using stage in cm) by water year type for With- and Without-Project </w:t>
      </w:r>
      <w:proofErr w:type="spellStart"/>
      <w:r>
        <w:rPr>
          <w:rFonts w:eastAsia="Calibri"/>
          <w:sz w:val="24"/>
          <w:szCs w:val="24"/>
        </w:rPr>
        <w:t>hydrologies</w:t>
      </w:r>
      <w:proofErr w:type="spellEnd"/>
      <w:r>
        <w:rPr>
          <w:rFonts w:eastAsia="Calibri"/>
          <w:sz w:val="24"/>
          <w:szCs w:val="24"/>
        </w:rPr>
        <w:t xml:space="preserve">, and by five water year types (i.e., 10 charts per transect).  YCWA will limit y and x axis to the analysis period and will highlight line segments for which the recession rate does not preclude opportunity for germination.  Opportunity for germination in this context is defined as less than a </w:t>
      </w:r>
      <w:r w:rsidR="00F20092">
        <w:rPr>
          <w:rFonts w:eastAsia="Calibri"/>
          <w:sz w:val="24"/>
          <w:szCs w:val="24"/>
        </w:rPr>
        <w:t xml:space="preserve">2.5 </w:t>
      </w:r>
      <w:proofErr w:type="spellStart"/>
      <w:r w:rsidR="00F20092">
        <w:rPr>
          <w:rFonts w:eastAsia="Calibri"/>
          <w:sz w:val="24"/>
          <w:szCs w:val="24"/>
        </w:rPr>
        <w:t>cma</w:t>
      </w:r>
      <w:proofErr w:type="spellEnd"/>
      <w:r w:rsidR="00F20092">
        <w:rPr>
          <w:rFonts w:eastAsia="Calibri"/>
          <w:sz w:val="24"/>
          <w:szCs w:val="24"/>
        </w:rPr>
        <w:t>/day change and not preceding (in the same year) a day or period with daily stage change less than 2.5 cm/day.</w:t>
      </w:r>
      <w:r>
        <w:rPr>
          <w:rFonts w:eastAsia="Calibri"/>
          <w:color w:val="FF0000"/>
          <w:sz w:val="24"/>
          <w:szCs w:val="24"/>
        </w:rPr>
        <w:t xml:space="preserve"> </w:t>
      </w:r>
    </w:p>
    <w:p w:rsidR="00B729AF" w:rsidRDefault="00B729AF" w:rsidP="00B729AF">
      <w:pPr>
        <w:pStyle w:val="CM14"/>
        <w:widowControl/>
        <w:spacing w:after="0"/>
        <w:jc w:val="both"/>
      </w:pPr>
    </w:p>
    <w:p w:rsidR="00B729AF" w:rsidRDefault="00B729AF" w:rsidP="00B729AF">
      <w:pPr>
        <w:numPr>
          <w:ilvl w:val="0"/>
          <w:numId w:val="18"/>
        </w:numPr>
        <w:spacing w:after="0" w:line="240" w:lineRule="auto"/>
        <w:ind w:left="720"/>
        <w:jc w:val="both"/>
        <w:rPr>
          <w:sz w:val="24"/>
          <w:szCs w:val="24"/>
        </w:rPr>
      </w:pPr>
      <w:r>
        <w:rPr>
          <w:rFonts w:eastAsia="Calibri"/>
          <w:b/>
          <w:sz w:val="24"/>
          <w:szCs w:val="24"/>
        </w:rPr>
        <w:t xml:space="preserve">Task </w:t>
      </w:r>
      <w:r w:rsidR="00023B4F">
        <w:rPr>
          <w:rFonts w:eastAsia="Calibri"/>
          <w:b/>
          <w:sz w:val="24"/>
          <w:szCs w:val="24"/>
        </w:rPr>
        <w:t>4</w:t>
      </w:r>
      <w:r>
        <w:rPr>
          <w:rFonts w:eastAsia="Calibri"/>
          <w:sz w:val="24"/>
          <w:szCs w:val="24"/>
        </w:rPr>
        <w:t xml:space="preserve"> – YCWA will include this analysis and results in a revised Technical Memorandum 6.2, </w:t>
      </w:r>
      <w:r>
        <w:rPr>
          <w:rFonts w:eastAsia="Calibri"/>
          <w:i/>
          <w:sz w:val="24"/>
          <w:szCs w:val="24"/>
        </w:rPr>
        <w:t xml:space="preserve">Riparian Habitat </w:t>
      </w:r>
      <w:r w:rsidR="00023B4F">
        <w:rPr>
          <w:rFonts w:eastAsia="Calibri"/>
          <w:i/>
          <w:sz w:val="24"/>
          <w:szCs w:val="24"/>
        </w:rPr>
        <w:t>Downstream</w:t>
      </w:r>
      <w:r>
        <w:rPr>
          <w:rFonts w:eastAsia="Calibri"/>
          <w:i/>
          <w:sz w:val="24"/>
          <w:szCs w:val="24"/>
        </w:rPr>
        <w:t xml:space="preserve"> of </w:t>
      </w:r>
      <w:proofErr w:type="spellStart"/>
      <w:r>
        <w:rPr>
          <w:rFonts w:eastAsia="Calibri"/>
          <w:i/>
          <w:sz w:val="24"/>
          <w:szCs w:val="24"/>
        </w:rPr>
        <w:t>Englebright</w:t>
      </w:r>
      <w:proofErr w:type="spellEnd"/>
      <w:r>
        <w:rPr>
          <w:rFonts w:eastAsia="Calibri"/>
          <w:i/>
          <w:sz w:val="24"/>
          <w:szCs w:val="24"/>
        </w:rPr>
        <w:t xml:space="preserve"> Reservoir</w:t>
      </w:r>
      <w:r>
        <w:rPr>
          <w:rFonts w:eastAsia="Calibri"/>
          <w:sz w:val="24"/>
          <w:szCs w:val="24"/>
        </w:rPr>
        <w:t xml:space="preserve">.  The tables and charts developed in Tasks </w:t>
      </w:r>
      <w:r w:rsidR="00023B4F">
        <w:rPr>
          <w:rFonts w:eastAsia="Calibri"/>
          <w:sz w:val="24"/>
          <w:szCs w:val="24"/>
        </w:rPr>
        <w:t>2</w:t>
      </w:r>
      <w:r>
        <w:rPr>
          <w:rFonts w:eastAsia="Calibri"/>
          <w:sz w:val="24"/>
          <w:szCs w:val="24"/>
        </w:rPr>
        <w:t xml:space="preserve"> and </w:t>
      </w:r>
      <w:r w:rsidR="00023B4F">
        <w:rPr>
          <w:rFonts w:eastAsia="Calibri"/>
          <w:sz w:val="24"/>
          <w:szCs w:val="24"/>
        </w:rPr>
        <w:t>3</w:t>
      </w:r>
      <w:r>
        <w:rPr>
          <w:rFonts w:eastAsia="Calibri"/>
          <w:sz w:val="24"/>
          <w:szCs w:val="24"/>
        </w:rPr>
        <w:t xml:space="preserve"> will be included in the technical memorandum as attachments.  YCWA anticipates the revised technical memorandum will be issued </w:t>
      </w:r>
      <w:r w:rsidRPr="00C97B7E">
        <w:rPr>
          <w:rFonts w:eastAsia="Calibri"/>
          <w:sz w:val="24"/>
          <w:szCs w:val="24"/>
          <w:highlight w:val="yellow"/>
        </w:rPr>
        <w:t xml:space="preserve">within </w:t>
      </w:r>
      <w:r w:rsidR="00023B4F" w:rsidRPr="00C97B7E">
        <w:rPr>
          <w:rFonts w:eastAsia="Calibri"/>
          <w:sz w:val="24"/>
          <w:szCs w:val="24"/>
          <w:highlight w:val="yellow"/>
        </w:rPr>
        <w:t>X weeks</w:t>
      </w:r>
      <w:r w:rsidRPr="00C97B7E">
        <w:rPr>
          <w:rFonts w:eastAsia="Calibri"/>
          <w:sz w:val="24"/>
          <w:szCs w:val="24"/>
          <w:highlight w:val="yellow"/>
        </w:rPr>
        <w:t xml:space="preserve"> of when YCWA and Relicensing Participants collaboratively </w:t>
      </w:r>
      <w:r w:rsidR="00023B4F" w:rsidRPr="00C97B7E">
        <w:rPr>
          <w:rFonts w:eastAsia="Calibri"/>
          <w:sz w:val="24"/>
          <w:szCs w:val="24"/>
          <w:highlight w:val="yellow"/>
        </w:rPr>
        <w:t>complete Task 1.</w:t>
      </w:r>
    </w:p>
    <w:p w:rsidR="007F6BAD" w:rsidRDefault="007F6BAD" w:rsidP="00FF7C1A">
      <w:pPr>
        <w:autoSpaceDE w:val="0"/>
        <w:autoSpaceDN w:val="0"/>
        <w:adjustRightInd w:val="0"/>
        <w:spacing w:after="0" w:line="240" w:lineRule="auto"/>
        <w:rPr>
          <w:sz w:val="20"/>
          <w:szCs w:val="20"/>
        </w:rPr>
      </w:pPr>
      <w:bookmarkStart w:id="0" w:name="_GoBack"/>
      <w:bookmarkEnd w:id="0"/>
    </w:p>
    <w:p w:rsidR="00284F32" w:rsidRPr="00FF7C1A" w:rsidRDefault="00284F32" w:rsidP="00FF7C1A">
      <w:pPr>
        <w:autoSpaceDE w:val="0"/>
        <w:autoSpaceDN w:val="0"/>
        <w:adjustRightInd w:val="0"/>
        <w:spacing w:after="0" w:line="240" w:lineRule="auto"/>
        <w:rPr>
          <w:sz w:val="20"/>
          <w:szCs w:val="20"/>
        </w:rPr>
      </w:pPr>
    </w:p>
    <w:sectPr w:rsidR="00284F32" w:rsidRPr="00FF7C1A">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F19" w:rsidRDefault="00317F19" w:rsidP="00C74316">
      <w:pPr>
        <w:spacing w:after="0" w:line="240" w:lineRule="auto"/>
      </w:pPr>
      <w:r>
        <w:separator/>
      </w:r>
    </w:p>
  </w:endnote>
  <w:endnote w:type="continuationSeparator" w:id="0">
    <w:p w:rsidR="00317F19" w:rsidRDefault="00317F19" w:rsidP="00C743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3617343"/>
      <w:docPartObj>
        <w:docPartGallery w:val="Page Numbers (Bottom of Page)"/>
        <w:docPartUnique/>
      </w:docPartObj>
    </w:sdtPr>
    <w:sdtEndPr>
      <w:rPr>
        <w:noProof/>
      </w:rPr>
    </w:sdtEndPr>
    <w:sdtContent>
      <w:p w:rsidR="007F6BAD" w:rsidRDefault="007F6BAD">
        <w:pPr>
          <w:pStyle w:val="Footer"/>
          <w:jc w:val="center"/>
        </w:pPr>
        <w:r>
          <w:fldChar w:fldCharType="begin"/>
        </w:r>
        <w:r>
          <w:instrText xml:space="preserve"> PAGE   \* MERGEFORMAT </w:instrText>
        </w:r>
        <w:r>
          <w:fldChar w:fldCharType="separate"/>
        </w:r>
        <w:r w:rsidR="00953197">
          <w:rPr>
            <w:noProof/>
          </w:rPr>
          <w:t>1</w:t>
        </w:r>
        <w:r>
          <w:rPr>
            <w:noProof/>
          </w:rPr>
          <w:fldChar w:fldCharType="end"/>
        </w:r>
      </w:p>
    </w:sdtContent>
  </w:sdt>
  <w:p w:rsidR="007F6BAD" w:rsidRDefault="007F6B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F19" w:rsidRDefault="00317F19" w:rsidP="00C74316">
      <w:pPr>
        <w:spacing w:after="0" w:line="240" w:lineRule="auto"/>
      </w:pPr>
      <w:r>
        <w:separator/>
      </w:r>
    </w:p>
  </w:footnote>
  <w:footnote w:type="continuationSeparator" w:id="0">
    <w:p w:rsidR="00317F19" w:rsidRDefault="00317F19" w:rsidP="00C74316">
      <w:pPr>
        <w:spacing w:after="0" w:line="240" w:lineRule="auto"/>
      </w:pPr>
      <w:r>
        <w:continuationSeparator/>
      </w:r>
    </w:p>
  </w:footnote>
  <w:footnote w:id="1">
    <w:p w:rsidR="00B729AF" w:rsidRDefault="00B729AF" w:rsidP="00B729AF">
      <w:pPr>
        <w:autoSpaceDE w:val="0"/>
        <w:autoSpaceDN w:val="0"/>
        <w:adjustRightInd w:val="0"/>
        <w:ind w:left="180" w:hanging="180"/>
        <w:jc w:val="both"/>
        <w:rPr>
          <w:sz w:val="20"/>
          <w:szCs w:val="20"/>
        </w:rPr>
      </w:pPr>
      <w:r>
        <w:rPr>
          <w:rStyle w:val="FootnoteReference"/>
          <w:sz w:val="18"/>
          <w:szCs w:val="18"/>
        </w:rPr>
        <w:footnoteRef/>
      </w:r>
      <w:r>
        <w:rPr>
          <w:sz w:val="18"/>
          <w:szCs w:val="18"/>
        </w:rPr>
        <w:t xml:space="preserve"> </w:t>
      </w:r>
      <w:r>
        <w:rPr>
          <w:sz w:val="18"/>
          <w:szCs w:val="18"/>
        </w:rPr>
        <w:tab/>
      </w:r>
      <w:proofErr w:type="gramStart"/>
      <w:r>
        <w:rPr>
          <w:rFonts w:eastAsia="Calibri"/>
          <w:sz w:val="18"/>
          <w:szCs w:val="18"/>
        </w:rPr>
        <w:t>Stella, J.C.; J.J. Battles; J.R. McBride; and B.K. Orr.</w:t>
      </w:r>
      <w:proofErr w:type="gramEnd"/>
      <w:r>
        <w:rPr>
          <w:rFonts w:eastAsia="Calibri"/>
          <w:sz w:val="18"/>
          <w:szCs w:val="18"/>
        </w:rPr>
        <w:t xml:space="preserve"> 2010. </w:t>
      </w:r>
      <w:r>
        <w:rPr>
          <w:rFonts w:eastAsia="Calibri"/>
          <w:bCs/>
          <w:sz w:val="18"/>
          <w:szCs w:val="18"/>
        </w:rPr>
        <w:t>Riparian seedling mortality from simulated water</w:t>
      </w:r>
      <w:r>
        <w:rPr>
          <w:rFonts w:eastAsia="Calibri"/>
          <w:sz w:val="18"/>
          <w:szCs w:val="18"/>
        </w:rPr>
        <w:t xml:space="preserve"> </w:t>
      </w:r>
      <w:r>
        <w:rPr>
          <w:rFonts w:eastAsia="Calibri"/>
          <w:bCs/>
          <w:sz w:val="18"/>
          <w:szCs w:val="18"/>
        </w:rPr>
        <w:t>table recession, and the design of sustainable flow</w:t>
      </w:r>
      <w:r>
        <w:rPr>
          <w:rFonts w:eastAsia="Calibri"/>
          <w:sz w:val="18"/>
          <w:szCs w:val="18"/>
        </w:rPr>
        <w:t xml:space="preserve"> </w:t>
      </w:r>
      <w:r>
        <w:rPr>
          <w:rFonts w:eastAsia="Calibri"/>
          <w:bCs/>
          <w:sz w:val="18"/>
          <w:szCs w:val="18"/>
        </w:rPr>
        <w:t>regimes on regulated rivers. Restoration Ecology 18:284-294.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914A9"/>
    <w:multiLevelType w:val="hybridMultilevel"/>
    <w:tmpl w:val="81065A0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3352D1C"/>
    <w:multiLevelType w:val="hybridMultilevel"/>
    <w:tmpl w:val="B354375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5110230"/>
    <w:multiLevelType w:val="hybridMultilevel"/>
    <w:tmpl w:val="168EB4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5827734"/>
    <w:multiLevelType w:val="hybridMultilevel"/>
    <w:tmpl w:val="9A9AB4D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DE72D1"/>
    <w:multiLevelType w:val="hybridMultilevel"/>
    <w:tmpl w:val="58C03C1A"/>
    <w:lvl w:ilvl="0" w:tplc="4B3834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3EB1D83"/>
    <w:multiLevelType w:val="hybridMultilevel"/>
    <w:tmpl w:val="BF141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A8D2BC3"/>
    <w:multiLevelType w:val="hybridMultilevel"/>
    <w:tmpl w:val="46F6B80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56F053E"/>
    <w:multiLevelType w:val="hybridMultilevel"/>
    <w:tmpl w:val="8E0CCBAA"/>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08F4866"/>
    <w:multiLevelType w:val="hybridMultilevel"/>
    <w:tmpl w:val="6918459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A2259F"/>
    <w:multiLevelType w:val="hybridMultilevel"/>
    <w:tmpl w:val="E30240B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5101C99"/>
    <w:multiLevelType w:val="hybridMultilevel"/>
    <w:tmpl w:val="98021A66"/>
    <w:lvl w:ilvl="0" w:tplc="04090003">
      <w:start w:val="1"/>
      <w:numFmt w:val="bullet"/>
      <w:lvlText w:val="o"/>
      <w:lvlJc w:val="left"/>
      <w:pPr>
        <w:ind w:left="2250" w:hanging="360"/>
      </w:pPr>
      <w:rPr>
        <w:rFonts w:ascii="Courier New" w:hAnsi="Courier New" w:cs="Courier New" w:hint="default"/>
      </w:rPr>
    </w:lvl>
    <w:lvl w:ilvl="1" w:tplc="04090003">
      <w:start w:val="1"/>
      <w:numFmt w:val="bullet"/>
      <w:lvlText w:val="o"/>
      <w:lvlJc w:val="left"/>
      <w:pPr>
        <w:ind w:left="2970" w:hanging="360"/>
      </w:pPr>
      <w:rPr>
        <w:rFonts w:ascii="Courier New" w:hAnsi="Courier New" w:cs="Courier New" w:hint="default"/>
      </w:rPr>
    </w:lvl>
    <w:lvl w:ilvl="2" w:tplc="04090005">
      <w:start w:val="1"/>
      <w:numFmt w:val="bullet"/>
      <w:lvlText w:val=""/>
      <w:lvlJc w:val="left"/>
      <w:pPr>
        <w:ind w:left="3690" w:hanging="360"/>
      </w:pPr>
      <w:rPr>
        <w:rFonts w:ascii="Wingdings" w:hAnsi="Wingdings" w:hint="default"/>
      </w:rPr>
    </w:lvl>
    <w:lvl w:ilvl="3" w:tplc="04090001">
      <w:start w:val="1"/>
      <w:numFmt w:val="bullet"/>
      <w:lvlText w:val=""/>
      <w:lvlJc w:val="left"/>
      <w:pPr>
        <w:ind w:left="4410" w:hanging="360"/>
      </w:pPr>
      <w:rPr>
        <w:rFonts w:ascii="Symbol" w:hAnsi="Symbol" w:hint="default"/>
      </w:rPr>
    </w:lvl>
    <w:lvl w:ilvl="4" w:tplc="04090003">
      <w:start w:val="1"/>
      <w:numFmt w:val="bullet"/>
      <w:lvlText w:val="o"/>
      <w:lvlJc w:val="left"/>
      <w:pPr>
        <w:ind w:left="5130" w:hanging="360"/>
      </w:pPr>
      <w:rPr>
        <w:rFonts w:ascii="Courier New" w:hAnsi="Courier New" w:cs="Courier New" w:hint="default"/>
      </w:rPr>
    </w:lvl>
    <w:lvl w:ilvl="5" w:tplc="04090005">
      <w:start w:val="1"/>
      <w:numFmt w:val="bullet"/>
      <w:lvlText w:val=""/>
      <w:lvlJc w:val="left"/>
      <w:pPr>
        <w:ind w:left="5850" w:hanging="360"/>
      </w:pPr>
      <w:rPr>
        <w:rFonts w:ascii="Wingdings" w:hAnsi="Wingdings" w:hint="default"/>
      </w:rPr>
    </w:lvl>
    <w:lvl w:ilvl="6" w:tplc="04090001">
      <w:start w:val="1"/>
      <w:numFmt w:val="bullet"/>
      <w:lvlText w:val=""/>
      <w:lvlJc w:val="left"/>
      <w:pPr>
        <w:ind w:left="6570" w:hanging="360"/>
      </w:pPr>
      <w:rPr>
        <w:rFonts w:ascii="Symbol" w:hAnsi="Symbol" w:hint="default"/>
      </w:rPr>
    </w:lvl>
    <w:lvl w:ilvl="7" w:tplc="04090003">
      <w:start w:val="1"/>
      <w:numFmt w:val="bullet"/>
      <w:lvlText w:val="o"/>
      <w:lvlJc w:val="left"/>
      <w:pPr>
        <w:ind w:left="7290" w:hanging="360"/>
      </w:pPr>
      <w:rPr>
        <w:rFonts w:ascii="Courier New" w:hAnsi="Courier New" w:cs="Courier New" w:hint="default"/>
      </w:rPr>
    </w:lvl>
    <w:lvl w:ilvl="8" w:tplc="04090005">
      <w:start w:val="1"/>
      <w:numFmt w:val="bullet"/>
      <w:lvlText w:val=""/>
      <w:lvlJc w:val="left"/>
      <w:pPr>
        <w:ind w:left="8010" w:hanging="360"/>
      </w:pPr>
      <w:rPr>
        <w:rFonts w:ascii="Wingdings" w:hAnsi="Wingdings" w:hint="default"/>
      </w:rPr>
    </w:lvl>
  </w:abstractNum>
  <w:abstractNum w:abstractNumId="11">
    <w:nsid w:val="5C3C439E"/>
    <w:multiLevelType w:val="hybridMultilevel"/>
    <w:tmpl w:val="7C82F3A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FB3E53"/>
    <w:multiLevelType w:val="hybridMultilevel"/>
    <w:tmpl w:val="32E28C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nsid w:val="67BA09D5"/>
    <w:multiLevelType w:val="hybridMultilevel"/>
    <w:tmpl w:val="9CDC1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EFE4778"/>
    <w:multiLevelType w:val="hybridMultilevel"/>
    <w:tmpl w:val="F87675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9BC6DD9"/>
    <w:multiLevelType w:val="hybridMultilevel"/>
    <w:tmpl w:val="E29AD80C"/>
    <w:lvl w:ilvl="0" w:tplc="0409000B">
      <w:start w:val="1"/>
      <w:numFmt w:val="bullet"/>
      <w:lvlText w:val=""/>
      <w:lvlJc w:val="left"/>
      <w:pPr>
        <w:ind w:left="2250" w:hanging="360"/>
      </w:pPr>
      <w:rPr>
        <w:rFonts w:ascii="Wingdings" w:hAnsi="Wingdings" w:hint="default"/>
      </w:rPr>
    </w:lvl>
    <w:lvl w:ilvl="1" w:tplc="04090003">
      <w:start w:val="1"/>
      <w:numFmt w:val="bullet"/>
      <w:lvlText w:val="o"/>
      <w:lvlJc w:val="left"/>
      <w:pPr>
        <w:ind w:left="2970" w:hanging="360"/>
      </w:pPr>
      <w:rPr>
        <w:rFonts w:ascii="Courier New" w:hAnsi="Courier New" w:cs="Courier New" w:hint="default"/>
      </w:rPr>
    </w:lvl>
    <w:lvl w:ilvl="2" w:tplc="04090005">
      <w:start w:val="1"/>
      <w:numFmt w:val="bullet"/>
      <w:lvlText w:val=""/>
      <w:lvlJc w:val="left"/>
      <w:pPr>
        <w:ind w:left="3690" w:hanging="360"/>
      </w:pPr>
      <w:rPr>
        <w:rFonts w:ascii="Wingdings" w:hAnsi="Wingdings" w:hint="default"/>
      </w:rPr>
    </w:lvl>
    <w:lvl w:ilvl="3" w:tplc="04090001">
      <w:start w:val="1"/>
      <w:numFmt w:val="bullet"/>
      <w:lvlText w:val=""/>
      <w:lvlJc w:val="left"/>
      <w:pPr>
        <w:ind w:left="4410" w:hanging="360"/>
      </w:pPr>
      <w:rPr>
        <w:rFonts w:ascii="Symbol" w:hAnsi="Symbol" w:hint="default"/>
      </w:rPr>
    </w:lvl>
    <w:lvl w:ilvl="4" w:tplc="04090003">
      <w:start w:val="1"/>
      <w:numFmt w:val="bullet"/>
      <w:lvlText w:val="o"/>
      <w:lvlJc w:val="left"/>
      <w:pPr>
        <w:ind w:left="5130" w:hanging="360"/>
      </w:pPr>
      <w:rPr>
        <w:rFonts w:ascii="Courier New" w:hAnsi="Courier New" w:cs="Courier New" w:hint="default"/>
      </w:rPr>
    </w:lvl>
    <w:lvl w:ilvl="5" w:tplc="04090005">
      <w:start w:val="1"/>
      <w:numFmt w:val="bullet"/>
      <w:lvlText w:val=""/>
      <w:lvlJc w:val="left"/>
      <w:pPr>
        <w:ind w:left="5850" w:hanging="360"/>
      </w:pPr>
      <w:rPr>
        <w:rFonts w:ascii="Wingdings" w:hAnsi="Wingdings" w:hint="default"/>
      </w:rPr>
    </w:lvl>
    <w:lvl w:ilvl="6" w:tplc="04090001">
      <w:start w:val="1"/>
      <w:numFmt w:val="bullet"/>
      <w:lvlText w:val=""/>
      <w:lvlJc w:val="left"/>
      <w:pPr>
        <w:ind w:left="6570" w:hanging="360"/>
      </w:pPr>
      <w:rPr>
        <w:rFonts w:ascii="Symbol" w:hAnsi="Symbol" w:hint="default"/>
      </w:rPr>
    </w:lvl>
    <w:lvl w:ilvl="7" w:tplc="04090003">
      <w:start w:val="1"/>
      <w:numFmt w:val="bullet"/>
      <w:lvlText w:val="o"/>
      <w:lvlJc w:val="left"/>
      <w:pPr>
        <w:ind w:left="7290" w:hanging="360"/>
      </w:pPr>
      <w:rPr>
        <w:rFonts w:ascii="Courier New" w:hAnsi="Courier New" w:cs="Courier New" w:hint="default"/>
      </w:rPr>
    </w:lvl>
    <w:lvl w:ilvl="8" w:tplc="04090005">
      <w:start w:val="1"/>
      <w:numFmt w:val="bullet"/>
      <w:lvlText w:val=""/>
      <w:lvlJc w:val="left"/>
      <w:pPr>
        <w:ind w:left="8010" w:hanging="360"/>
      </w:pPr>
      <w:rPr>
        <w:rFonts w:ascii="Wingdings" w:hAnsi="Wingdings" w:hint="default"/>
      </w:rPr>
    </w:lvl>
  </w:abstractNum>
  <w:abstractNum w:abstractNumId="16">
    <w:nsid w:val="79C973E2"/>
    <w:multiLevelType w:val="hybridMultilevel"/>
    <w:tmpl w:val="9AB80626"/>
    <w:lvl w:ilvl="0" w:tplc="3EA22A84">
      <w:start w:val="1"/>
      <w:numFmt w:val="decimal"/>
      <w:lvlText w:val="%1)"/>
      <w:lvlJc w:val="left"/>
      <w:pPr>
        <w:ind w:left="810" w:hanging="360"/>
      </w:pPr>
      <w:rPr>
        <w:i w:val="0"/>
      </w:rPr>
    </w:lvl>
    <w:lvl w:ilvl="1" w:tplc="04090017">
      <w:start w:val="1"/>
      <w:numFmt w:val="lowerLetter"/>
      <w:lvlText w:val="%2)"/>
      <w:lvlJc w:val="left"/>
      <w:pPr>
        <w:ind w:left="1440" w:hanging="360"/>
      </w:pPr>
      <w:rPr>
        <w:rFonts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B344A12"/>
    <w:multiLevelType w:val="hybridMultilevel"/>
    <w:tmpl w:val="BBC4F8C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1"/>
  </w:num>
  <w:num w:numId="3">
    <w:abstractNumId w:val="6"/>
  </w:num>
  <w:num w:numId="4">
    <w:abstractNumId w:val="7"/>
  </w:num>
  <w:num w:numId="5">
    <w:abstractNumId w:val="8"/>
  </w:num>
  <w:num w:numId="6">
    <w:abstractNumId w:val="13"/>
  </w:num>
  <w:num w:numId="7">
    <w:abstractNumId w:val="14"/>
  </w:num>
  <w:num w:numId="8">
    <w:abstractNumId w:val="2"/>
  </w:num>
  <w:num w:numId="9">
    <w:abstractNumId w:val="2"/>
  </w:num>
  <w:num w:numId="10">
    <w:abstractNumId w:val="3"/>
  </w:num>
  <w:num w:numId="11">
    <w:abstractNumId w:val="16"/>
  </w:num>
  <w:num w:numId="12">
    <w:abstractNumId w:val="4"/>
  </w:num>
  <w:num w:numId="13">
    <w:abstractNumId w:val="10"/>
  </w:num>
  <w:num w:numId="14">
    <w:abstractNumId w:val="1"/>
  </w:num>
  <w:num w:numId="15">
    <w:abstractNumId w:val="5"/>
  </w:num>
  <w:num w:numId="16">
    <w:abstractNumId w:val="0"/>
  </w:num>
  <w:num w:numId="17">
    <w:abstractNumId w:val="9"/>
  </w:num>
  <w:num w:numId="18">
    <w:abstractNumId w:val="12"/>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FE6"/>
    <w:rsid w:val="00014F21"/>
    <w:rsid w:val="00023B4F"/>
    <w:rsid w:val="000245B8"/>
    <w:rsid w:val="0002497D"/>
    <w:rsid w:val="00037D3F"/>
    <w:rsid w:val="00043604"/>
    <w:rsid w:val="00072F98"/>
    <w:rsid w:val="0007537C"/>
    <w:rsid w:val="000A7061"/>
    <w:rsid w:val="000A79C0"/>
    <w:rsid w:val="000C5FB8"/>
    <w:rsid w:val="000D1D32"/>
    <w:rsid w:val="000D1F00"/>
    <w:rsid w:val="000E5CA6"/>
    <w:rsid w:val="000F39CC"/>
    <w:rsid w:val="00104A5F"/>
    <w:rsid w:val="00113773"/>
    <w:rsid w:val="00116EFA"/>
    <w:rsid w:val="001354A5"/>
    <w:rsid w:val="00140EBE"/>
    <w:rsid w:val="00165120"/>
    <w:rsid w:val="00165968"/>
    <w:rsid w:val="001711A9"/>
    <w:rsid w:val="00173796"/>
    <w:rsid w:val="001954D6"/>
    <w:rsid w:val="001A4B74"/>
    <w:rsid w:val="001C483E"/>
    <w:rsid w:val="001C6571"/>
    <w:rsid w:val="001D7E1D"/>
    <w:rsid w:val="001E6244"/>
    <w:rsid w:val="001F5B0F"/>
    <w:rsid w:val="00213011"/>
    <w:rsid w:val="00216BF7"/>
    <w:rsid w:val="00227780"/>
    <w:rsid w:val="00230286"/>
    <w:rsid w:val="00233938"/>
    <w:rsid w:val="00284F32"/>
    <w:rsid w:val="002942D0"/>
    <w:rsid w:val="002A7970"/>
    <w:rsid w:val="002B126A"/>
    <w:rsid w:val="002C168E"/>
    <w:rsid w:val="002D2D93"/>
    <w:rsid w:val="002D6DB0"/>
    <w:rsid w:val="002E231B"/>
    <w:rsid w:val="002E3217"/>
    <w:rsid w:val="00317204"/>
    <w:rsid w:val="00317F19"/>
    <w:rsid w:val="003207AD"/>
    <w:rsid w:val="0036103D"/>
    <w:rsid w:val="00367914"/>
    <w:rsid w:val="00383DBF"/>
    <w:rsid w:val="003920F9"/>
    <w:rsid w:val="003A2FD6"/>
    <w:rsid w:val="003B4540"/>
    <w:rsid w:val="003C7229"/>
    <w:rsid w:val="003E1488"/>
    <w:rsid w:val="003F0BBE"/>
    <w:rsid w:val="004045BF"/>
    <w:rsid w:val="00422399"/>
    <w:rsid w:val="0042620E"/>
    <w:rsid w:val="00427A92"/>
    <w:rsid w:val="00475693"/>
    <w:rsid w:val="0049062C"/>
    <w:rsid w:val="00493C49"/>
    <w:rsid w:val="004A1632"/>
    <w:rsid w:val="004B59CE"/>
    <w:rsid w:val="004C0231"/>
    <w:rsid w:val="004C2B30"/>
    <w:rsid w:val="004C7065"/>
    <w:rsid w:val="004D13E1"/>
    <w:rsid w:val="004D1D50"/>
    <w:rsid w:val="004D3A29"/>
    <w:rsid w:val="004E4851"/>
    <w:rsid w:val="004E6EED"/>
    <w:rsid w:val="004E7D6E"/>
    <w:rsid w:val="00507BBD"/>
    <w:rsid w:val="00513F6F"/>
    <w:rsid w:val="005141E0"/>
    <w:rsid w:val="00525253"/>
    <w:rsid w:val="005309E5"/>
    <w:rsid w:val="00530DF8"/>
    <w:rsid w:val="00536566"/>
    <w:rsid w:val="005672DF"/>
    <w:rsid w:val="005728F2"/>
    <w:rsid w:val="005776F2"/>
    <w:rsid w:val="005852F5"/>
    <w:rsid w:val="005B473D"/>
    <w:rsid w:val="005B62A8"/>
    <w:rsid w:val="005C58EB"/>
    <w:rsid w:val="005D4344"/>
    <w:rsid w:val="005E0639"/>
    <w:rsid w:val="006015F2"/>
    <w:rsid w:val="0060341D"/>
    <w:rsid w:val="00611029"/>
    <w:rsid w:val="00616F0A"/>
    <w:rsid w:val="006517FB"/>
    <w:rsid w:val="00652206"/>
    <w:rsid w:val="0066575E"/>
    <w:rsid w:val="00674BDF"/>
    <w:rsid w:val="00674FE6"/>
    <w:rsid w:val="006922BE"/>
    <w:rsid w:val="006B0EA1"/>
    <w:rsid w:val="006C22BD"/>
    <w:rsid w:val="006E5EE4"/>
    <w:rsid w:val="006E6DEE"/>
    <w:rsid w:val="006F1B15"/>
    <w:rsid w:val="007172F1"/>
    <w:rsid w:val="00722B62"/>
    <w:rsid w:val="007317DE"/>
    <w:rsid w:val="00735B61"/>
    <w:rsid w:val="00750688"/>
    <w:rsid w:val="00771131"/>
    <w:rsid w:val="007836F1"/>
    <w:rsid w:val="00784D00"/>
    <w:rsid w:val="00791C52"/>
    <w:rsid w:val="00792EB8"/>
    <w:rsid w:val="00794B28"/>
    <w:rsid w:val="007B43BF"/>
    <w:rsid w:val="007E555F"/>
    <w:rsid w:val="007F6BAD"/>
    <w:rsid w:val="00811F4A"/>
    <w:rsid w:val="0081416B"/>
    <w:rsid w:val="00823F92"/>
    <w:rsid w:val="00824E71"/>
    <w:rsid w:val="00830539"/>
    <w:rsid w:val="00832734"/>
    <w:rsid w:val="008336A5"/>
    <w:rsid w:val="00836EFE"/>
    <w:rsid w:val="008415D3"/>
    <w:rsid w:val="00854D81"/>
    <w:rsid w:val="0085698F"/>
    <w:rsid w:val="0086446E"/>
    <w:rsid w:val="00867057"/>
    <w:rsid w:val="0088263D"/>
    <w:rsid w:val="00883A01"/>
    <w:rsid w:val="008860E6"/>
    <w:rsid w:val="00896976"/>
    <w:rsid w:val="008C3600"/>
    <w:rsid w:val="008C689A"/>
    <w:rsid w:val="008E347D"/>
    <w:rsid w:val="008F3E49"/>
    <w:rsid w:val="00911493"/>
    <w:rsid w:val="009170D7"/>
    <w:rsid w:val="00923F65"/>
    <w:rsid w:val="00924D69"/>
    <w:rsid w:val="0094302B"/>
    <w:rsid w:val="00953197"/>
    <w:rsid w:val="0097128A"/>
    <w:rsid w:val="009810B9"/>
    <w:rsid w:val="00981D4F"/>
    <w:rsid w:val="009A4249"/>
    <w:rsid w:val="009B321B"/>
    <w:rsid w:val="009E0A3F"/>
    <w:rsid w:val="009E38DB"/>
    <w:rsid w:val="00A0108F"/>
    <w:rsid w:val="00A33C8B"/>
    <w:rsid w:val="00A417EE"/>
    <w:rsid w:val="00A461A4"/>
    <w:rsid w:val="00A527F1"/>
    <w:rsid w:val="00A57BA7"/>
    <w:rsid w:val="00A6795F"/>
    <w:rsid w:val="00A67D53"/>
    <w:rsid w:val="00A839ED"/>
    <w:rsid w:val="00AA47FB"/>
    <w:rsid w:val="00AB51E1"/>
    <w:rsid w:val="00AE0E8B"/>
    <w:rsid w:val="00AE3AAB"/>
    <w:rsid w:val="00B0329B"/>
    <w:rsid w:val="00B106F2"/>
    <w:rsid w:val="00B1151A"/>
    <w:rsid w:val="00B24B66"/>
    <w:rsid w:val="00B53279"/>
    <w:rsid w:val="00B729AF"/>
    <w:rsid w:val="00B72DB0"/>
    <w:rsid w:val="00B87E00"/>
    <w:rsid w:val="00BC0D9F"/>
    <w:rsid w:val="00BD52E9"/>
    <w:rsid w:val="00C13C3B"/>
    <w:rsid w:val="00C37683"/>
    <w:rsid w:val="00C50E25"/>
    <w:rsid w:val="00C51754"/>
    <w:rsid w:val="00C54FD7"/>
    <w:rsid w:val="00C6004B"/>
    <w:rsid w:val="00C7396F"/>
    <w:rsid w:val="00C74316"/>
    <w:rsid w:val="00C760C3"/>
    <w:rsid w:val="00C76CBA"/>
    <w:rsid w:val="00C81713"/>
    <w:rsid w:val="00C97B7E"/>
    <w:rsid w:val="00CB0D2D"/>
    <w:rsid w:val="00CB2898"/>
    <w:rsid w:val="00CB2FFA"/>
    <w:rsid w:val="00CB6575"/>
    <w:rsid w:val="00CC5407"/>
    <w:rsid w:val="00CD3229"/>
    <w:rsid w:val="00CE29D2"/>
    <w:rsid w:val="00CE35D5"/>
    <w:rsid w:val="00CE5614"/>
    <w:rsid w:val="00CF230F"/>
    <w:rsid w:val="00CF3E02"/>
    <w:rsid w:val="00CF5D87"/>
    <w:rsid w:val="00CF7009"/>
    <w:rsid w:val="00D11034"/>
    <w:rsid w:val="00D13449"/>
    <w:rsid w:val="00D2309D"/>
    <w:rsid w:val="00D277D8"/>
    <w:rsid w:val="00D322B2"/>
    <w:rsid w:val="00D50443"/>
    <w:rsid w:val="00D526B9"/>
    <w:rsid w:val="00D65DD4"/>
    <w:rsid w:val="00D818EC"/>
    <w:rsid w:val="00D9095E"/>
    <w:rsid w:val="00DA3E7D"/>
    <w:rsid w:val="00DD3490"/>
    <w:rsid w:val="00DE5C37"/>
    <w:rsid w:val="00DE7ADE"/>
    <w:rsid w:val="00E01DCF"/>
    <w:rsid w:val="00E044AA"/>
    <w:rsid w:val="00E12B44"/>
    <w:rsid w:val="00E2425B"/>
    <w:rsid w:val="00E47530"/>
    <w:rsid w:val="00E516EA"/>
    <w:rsid w:val="00E60A18"/>
    <w:rsid w:val="00E6778E"/>
    <w:rsid w:val="00E838F2"/>
    <w:rsid w:val="00E86051"/>
    <w:rsid w:val="00E91F28"/>
    <w:rsid w:val="00E96FB9"/>
    <w:rsid w:val="00EE0C5C"/>
    <w:rsid w:val="00EF03E6"/>
    <w:rsid w:val="00F0690A"/>
    <w:rsid w:val="00F17E15"/>
    <w:rsid w:val="00F20092"/>
    <w:rsid w:val="00F34EC0"/>
    <w:rsid w:val="00F44F35"/>
    <w:rsid w:val="00F45957"/>
    <w:rsid w:val="00F54D90"/>
    <w:rsid w:val="00F57662"/>
    <w:rsid w:val="00F655DE"/>
    <w:rsid w:val="00F70193"/>
    <w:rsid w:val="00F72DDA"/>
    <w:rsid w:val="00F7367E"/>
    <w:rsid w:val="00F873D5"/>
    <w:rsid w:val="00F97BE4"/>
    <w:rsid w:val="00FB14FF"/>
    <w:rsid w:val="00FB3D2B"/>
    <w:rsid w:val="00FD0B1B"/>
    <w:rsid w:val="00FD16E6"/>
    <w:rsid w:val="00FD6CDD"/>
    <w:rsid w:val="00FF7C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43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4316"/>
  </w:style>
  <w:style w:type="paragraph" w:styleId="Footer">
    <w:name w:val="footer"/>
    <w:basedOn w:val="Normal"/>
    <w:link w:val="FooterChar"/>
    <w:uiPriority w:val="99"/>
    <w:unhideWhenUsed/>
    <w:rsid w:val="00C743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4316"/>
  </w:style>
  <w:style w:type="paragraph" w:styleId="ListParagraph">
    <w:name w:val="List Paragraph"/>
    <w:basedOn w:val="Normal"/>
    <w:uiPriority w:val="34"/>
    <w:qFormat/>
    <w:rsid w:val="007317DE"/>
    <w:pPr>
      <w:ind w:left="720"/>
      <w:contextualSpacing/>
    </w:pPr>
  </w:style>
  <w:style w:type="table" w:styleId="TableGrid">
    <w:name w:val="Table Grid"/>
    <w:basedOn w:val="TableNormal"/>
    <w:uiPriority w:val="59"/>
    <w:rsid w:val="000249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526B9"/>
    <w:rPr>
      <w:sz w:val="16"/>
      <w:szCs w:val="16"/>
    </w:rPr>
  </w:style>
  <w:style w:type="paragraph" w:styleId="CommentText">
    <w:name w:val="annotation text"/>
    <w:basedOn w:val="Normal"/>
    <w:link w:val="CommentTextChar"/>
    <w:uiPriority w:val="99"/>
    <w:unhideWhenUsed/>
    <w:rsid w:val="00D526B9"/>
    <w:pPr>
      <w:spacing w:line="240" w:lineRule="auto"/>
    </w:pPr>
    <w:rPr>
      <w:sz w:val="20"/>
      <w:szCs w:val="20"/>
    </w:rPr>
  </w:style>
  <w:style w:type="character" w:customStyle="1" w:styleId="CommentTextChar">
    <w:name w:val="Comment Text Char"/>
    <w:basedOn w:val="DefaultParagraphFont"/>
    <w:link w:val="CommentText"/>
    <w:uiPriority w:val="99"/>
    <w:rsid w:val="00D526B9"/>
    <w:rPr>
      <w:sz w:val="20"/>
      <w:szCs w:val="20"/>
    </w:rPr>
  </w:style>
  <w:style w:type="paragraph" w:styleId="CommentSubject">
    <w:name w:val="annotation subject"/>
    <w:basedOn w:val="CommentText"/>
    <w:next w:val="CommentText"/>
    <w:link w:val="CommentSubjectChar"/>
    <w:uiPriority w:val="99"/>
    <w:semiHidden/>
    <w:unhideWhenUsed/>
    <w:rsid w:val="00D526B9"/>
    <w:rPr>
      <w:b/>
      <w:bCs/>
    </w:rPr>
  </w:style>
  <w:style w:type="character" w:customStyle="1" w:styleId="CommentSubjectChar">
    <w:name w:val="Comment Subject Char"/>
    <w:basedOn w:val="CommentTextChar"/>
    <w:link w:val="CommentSubject"/>
    <w:uiPriority w:val="99"/>
    <w:semiHidden/>
    <w:rsid w:val="00D526B9"/>
    <w:rPr>
      <w:b/>
      <w:bCs/>
      <w:sz w:val="20"/>
      <w:szCs w:val="20"/>
    </w:rPr>
  </w:style>
  <w:style w:type="paragraph" w:styleId="BalloonText">
    <w:name w:val="Balloon Text"/>
    <w:basedOn w:val="Normal"/>
    <w:link w:val="BalloonTextChar"/>
    <w:uiPriority w:val="99"/>
    <w:semiHidden/>
    <w:unhideWhenUsed/>
    <w:rsid w:val="00D52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6B9"/>
    <w:rPr>
      <w:rFonts w:ascii="Tahoma" w:hAnsi="Tahoma" w:cs="Tahoma"/>
      <w:sz w:val="16"/>
      <w:szCs w:val="16"/>
    </w:rPr>
  </w:style>
  <w:style w:type="paragraph" w:customStyle="1" w:styleId="Default">
    <w:name w:val="Default"/>
    <w:rsid w:val="00284F32"/>
    <w:pPr>
      <w:autoSpaceDE w:val="0"/>
      <w:autoSpaceDN w:val="0"/>
      <w:adjustRightInd w:val="0"/>
      <w:spacing w:after="0" w:line="240" w:lineRule="auto"/>
    </w:pPr>
    <w:rPr>
      <w:rFonts w:ascii="Code" w:hAnsi="Code" w:cs="Code"/>
      <w:color w:val="000000"/>
      <w:sz w:val="24"/>
      <w:szCs w:val="24"/>
    </w:rPr>
  </w:style>
  <w:style w:type="paragraph" w:styleId="FootnoteText">
    <w:name w:val="footnote text"/>
    <w:basedOn w:val="Normal"/>
    <w:link w:val="FootnoteTextChar"/>
    <w:semiHidden/>
    <w:unhideWhenUsed/>
    <w:rsid w:val="00B729A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B729AF"/>
    <w:rPr>
      <w:rFonts w:ascii="Times New Roman" w:eastAsia="Times New Roman" w:hAnsi="Times New Roman" w:cs="Times New Roman"/>
      <w:sz w:val="20"/>
      <w:szCs w:val="20"/>
    </w:rPr>
  </w:style>
  <w:style w:type="paragraph" w:customStyle="1" w:styleId="CM14">
    <w:name w:val="CM14"/>
    <w:basedOn w:val="Normal"/>
    <w:next w:val="Normal"/>
    <w:uiPriority w:val="99"/>
    <w:rsid w:val="00B729AF"/>
    <w:pPr>
      <w:widowControl w:val="0"/>
      <w:autoSpaceDE w:val="0"/>
      <w:autoSpaceDN w:val="0"/>
      <w:adjustRightInd w:val="0"/>
      <w:spacing w:after="275" w:line="240" w:lineRule="auto"/>
    </w:pPr>
    <w:rPr>
      <w:rFonts w:ascii="Times New Roman" w:eastAsia="Times New Roman" w:hAnsi="Times New Roman" w:cs="Times New Roman"/>
      <w:sz w:val="24"/>
      <w:szCs w:val="24"/>
    </w:rPr>
  </w:style>
  <w:style w:type="character" w:styleId="FootnoteReference">
    <w:name w:val="footnote reference"/>
    <w:semiHidden/>
    <w:unhideWhenUsed/>
    <w:rsid w:val="00B729AF"/>
    <w:rPr>
      <w:rFonts w:ascii="Times New Roman" w:hAnsi="Times New Roman" w:cs="Times New Roman" w:hint="default"/>
      <w:sz w:val="20"/>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43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4316"/>
  </w:style>
  <w:style w:type="paragraph" w:styleId="Footer">
    <w:name w:val="footer"/>
    <w:basedOn w:val="Normal"/>
    <w:link w:val="FooterChar"/>
    <w:uiPriority w:val="99"/>
    <w:unhideWhenUsed/>
    <w:rsid w:val="00C743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4316"/>
  </w:style>
  <w:style w:type="paragraph" w:styleId="ListParagraph">
    <w:name w:val="List Paragraph"/>
    <w:basedOn w:val="Normal"/>
    <w:uiPriority w:val="34"/>
    <w:qFormat/>
    <w:rsid w:val="007317DE"/>
    <w:pPr>
      <w:ind w:left="720"/>
      <w:contextualSpacing/>
    </w:pPr>
  </w:style>
  <w:style w:type="table" w:styleId="TableGrid">
    <w:name w:val="Table Grid"/>
    <w:basedOn w:val="TableNormal"/>
    <w:uiPriority w:val="59"/>
    <w:rsid w:val="000249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526B9"/>
    <w:rPr>
      <w:sz w:val="16"/>
      <w:szCs w:val="16"/>
    </w:rPr>
  </w:style>
  <w:style w:type="paragraph" w:styleId="CommentText">
    <w:name w:val="annotation text"/>
    <w:basedOn w:val="Normal"/>
    <w:link w:val="CommentTextChar"/>
    <w:uiPriority w:val="99"/>
    <w:unhideWhenUsed/>
    <w:rsid w:val="00D526B9"/>
    <w:pPr>
      <w:spacing w:line="240" w:lineRule="auto"/>
    </w:pPr>
    <w:rPr>
      <w:sz w:val="20"/>
      <w:szCs w:val="20"/>
    </w:rPr>
  </w:style>
  <w:style w:type="character" w:customStyle="1" w:styleId="CommentTextChar">
    <w:name w:val="Comment Text Char"/>
    <w:basedOn w:val="DefaultParagraphFont"/>
    <w:link w:val="CommentText"/>
    <w:uiPriority w:val="99"/>
    <w:rsid w:val="00D526B9"/>
    <w:rPr>
      <w:sz w:val="20"/>
      <w:szCs w:val="20"/>
    </w:rPr>
  </w:style>
  <w:style w:type="paragraph" w:styleId="CommentSubject">
    <w:name w:val="annotation subject"/>
    <w:basedOn w:val="CommentText"/>
    <w:next w:val="CommentText"/>
    <w:link w:val="CommentSubjectChar"/>
    <w:uiPriority w:val="99"/>
    <w:semiHidden/>
    <w:unhideWhenUsed/>
    <w:rsid w:val="00D526B9"/>
    <w:rPr>
      <w:b/>
      <w:bCs/>
    </w:rPr>
  </w:style>
  <w:style w:type="character" w:customStyle="1" w:styleId="CommentSubjectChar">
    <w:name w:val="Comment Subject Char"/>
    <w:basedOn w:val="CommentTextChar"/>
    <w:link w:val="CommentSubject"/>
    <w:uiPriority w:val="99"/>
    <w:semiHidden/>
    <w:rsid w:val="00D526B9"/>
    <w:rPr>
      <w:b/>
      <w:bCs/>
      <w:sz w:val="20"/>
      <w:szCs w:val="20"/>
    </w:rPr>
  </w:style>
  <w:style w:type="paragraph" w:styleId="BalloonText">
    <w:name w:val="Balloon Text"/>
    <w:basedOn w:val="Normal"/>
    <w:link w:val="BalloonTextChar"/>
    <w:uiPriority w:val="99"/>
    <w:semiHidden/>
    <w:unhideWhenUsed/>
    <w:rsid w:val="00D52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26B9"/>
    <w:rPr>
      <w:rFonts w:ascii="Tahoma" w:hAnsi="Tahoma" w:cs="Tahoma"/>
      <w:sz w:val="16"/>
      <w:szCs w:val="16"/>
    </w:rPr>
  </w:style>
  <w:style w:type="paragraph" w:customStyle="1" w:styleId="Default">
    <w:name w:val="Default"/>
    <w:rsid w:val="00284F32"/>
    <w:pPr>
      <w:autoSpaceDE w:val="0"/>
      <w:autoSpaceDN w:val="0"/>
      <w:adjustRightInd w:val="0"/>
      <w:spacing w:after="0" w:line="240" w:lineRule="auto"/>
    </w:pPr>
    <w:rPr>
      <w:rFonts w:ascii="Code" w:hAnsi="Code" w:cs="Code"/>
      <w:color w:val="000000"/>
      <w:sz w:val="24"/>
      <w:szCs w:val="24"/>
    </w:rPr>
  </w:style>
  <w:style w:type="paragraph" w:styleId="FootnoteText">
    <w:name w:val="footnote text"/>
    <w:basedOn w:val="Normal"/>
    <w:link w:val="FootnoteTextChar"/>
    <w:semiHidden/>
    <w:unhideWhenUsed/>
    <w:rsid w:val="00B729AF"/>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B729AF"/>
    <w:rPr>
      <w:rFonts w:ascii="Times New Roman" w:eastAsia="Times New Roman" w:hAnsi="Times New Roman" w:cs="Times New Roman"/>
      <w:sz w:val="20"/>
      <w:szCs w:val="20"/>
    </w:rPr>
  </w:style>
  <w:style w:type="paragraph" w:customStyle="1" w:styleId="CM14">
    <w:name w:val="CM14"/>
    <w:basedOn w:val="Normal"/>
    <w:next w:val="Normal"/>
    <w:uiPriority w:val="99"/>
    <w:rsid w:val="00B729AF"/>
    <w:pPr>
      <w:widowControl w:val="0"/>
      <w:autoSpaceDE w:val="0"/>
      <w:autoSpaceDN w:val="0"/>
      <w:adjustRightInd w:val="0"/>
      <w:spacing w:after="275" w:line="240" w:lineRule="auto"/>
    </w:pPr>
    <w:rPr>
      <w:rFonts w:ascii="Times New Roman" w:eastAsia="Times New Roman" w:hAnsi="Times New Roman" w:cs="Times New Roman"/>
      <w:sz w:val="24"/>
      <w:szCs w:val="24"/>
    </w:rPr>
  </w:style>
  <w:style w:type="character" w:styleId="FootnoteReference">
    <w:name w:val="footnote reference"/>
    <w:semiHidden/>
    <w:unhideWhenUsed/>
    <w:rsid w:val="00B729AF"/>
    <w:rPr>
      <w:rFonts w:ascii="Times New Roman" w:hAnsi="Times New Roman" w:cs="Times New Roman" w:hint="default"/>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236173">
      <w:bodyDiv w:val="1"/>
      <w:marLeft w:val="0"/>
      <w:marRight w:val="0"/>
      <w:marTop w:val="0"/>
      <w:marBottom w:val="0"/>
      <w:divBdr>
        <w:top w:val="none" w:sz="0" w:space="0" w:color="auto"/>
        <w:left w:val="none" w:sz="0" w:space="0" w:color="auto"/>
        <w:bottom w:val="none" w:sz="0" w:space="0" w:color="auto"/>
        <w:right w:val="none" w:sz="0" w:space="0" w:color="auto"/>
      </w:divBdr>
    </w:div>
    <w:div w:id="168986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490B7A6-FAAE-4E74-B75D-A965A67B91B5}"/>
</file>

<file path=customXml/itemProps2.xml><?xml version="1.0" encoding="utf-8"?>
<ds:datastoreItem xmlns:ds="http://schemas.openxmlformats.org/officeDocument/2006/customXml" ds:itemID="{D035AAE6-A3EC-48CB-BCB9-34F78813E6A3}"/>
</file>

<file path=customXml/itemProps3.xml><?xml version="1.0" encoding="utf-8"?>
<ds:datastoreItem xmlns:ds="http://schemas.openxmlformats.org/officeDocument/2006/customXml" ds:itemID="{A428A38D-AAC8-4802-93D0-230582BB9C5D}"/>
</file>

<file path=customXml/itemProps4.xml><?xml version="1.0" encoding="utf-8"?>
<ds:datastoreItem xmlns:ds="http://schemas.openxmlformats.org/officeDocument/2006/customXml" ds:itemID="{83667871-AE1D-4048-97EE-AAF39B258F50}"/>
</file>

<file path=docProps/app.xml><?xml version="1.0" encoding="utf-8"?>
<Properties xmlns="http://schemas.openxmlformats.org/officeDocument/2006/extended-properties" xmlns:vt="http://schemas.openxmlformats.org/officeDocument/2006/docPropsVTypes">
  <Template>Normal.dotm</Template>
  <TotalTime>1</TotalTime>
  <Pages>2</Pages>
  <Words>702</Words>
  <Characters>4004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Forest Service</Company>
  <LinksUpToDate>false</LinksUpToDate>
  <CharactersWithSpaces>4697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 Amy -FS</dc:creator>
  <cp:lastModifiedBy>Gary Reedy</cp:lastModifiedBy>
  <cp:revision>2</cp:revision>
  <dcterms:created xsi:type="dcterms:W3CDTF">2013-09-20T05:21:00Z</dcterms:created>
  <dcterms:modified xsi:type="dcterms:W3CDTF">2013-09-20T05:21:00Z</dcterms:modified>
</cp:coreProperties>
</file>